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一、申請資格:凡符合低收、中低收、原住民、特殊境遇子女、身心障礙子女資格，或村里長或師長推薦學性優良之一者，皆可提出申請。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DDA36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r w:rsidR="00DC6153">
              <w:rPr>
                <w:rFonts w:ascii="標楷體" w:eastAsia="標楷體" w:hAnsi="標楷體" w:hint="eastAsia"/>
              </w:rPr>
              <w:t>家扶或其他社福機構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FB4F94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申請文件請用泰北聯絡箱（275）免備文逕送臺北市私立泰北高級中學校長室收。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37" w:rsidRDefault="00F97C37" w:rsidP="00CA28A2">
      <w:r>
        <w:separator/>
      </w:r>
    </w:p>
  </w:endnote>
  <w:endnote w:type="continuationSeparator" w:id="0">
    <w:p w:rsidR="00F97C37" w:rsidRDefault="00F97C37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37" w:rsidRDefault="00F97C37" w:rsidP="00CA28A2">
      <w:r>
        <w:separator/>
      </w:r>
    </w:p>
  </w:footnote>
  <w:footnote w:type="continuationSeparator" w:id="0">
    <w:p w:rsidR="00F97C37" w:rsidRDefault="00F97C37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79"/>
    <w:rsid w:val="00404AB4"/>
    <w:rsid w:val="00497DDA"/>
    <w:rsid w:val="00537EC2"/>
    <w:rsid w:val="00637532"/>
    <w:rsid w:val="00746E08"/>
    <w:rsid w:val="0078714C"/>
    <w:rsid w:val="007C6579"/>
    <w:rsid w:val="007D2B97"/>
    <w:rsid w:val="009575A7"/>
    <w:rsid w:val="00A00875"/>
    <w:rsid w:val="00C36D71"/>
    <w:rsid w:val="00C52BF4"/>
    <w:rsid w:val="00CA28A2"/>
    <w:rsid w:val="00DC6153"/>
    <w:rsid w:val="00E029CF"/>
    <w:rsid w:val="00F97C37"/>
    <w:rsid w:val="00FB4F94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7D4C8E-7334-4052-A1CD-6275B3E0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2023-02-24T00:23:00Z</dcterms:created>
  <dcterms:modified xsi:type="dcterms:W3CDTF">2023-02-24T00:23:00Z</dcterms:modified>
</cp:coreProperties>
</file>